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EB4F3" w14:textId="30BD0CDD" w:rsidR="00A24FFC" w:rsidRPr="00FB3CAF" w:rsidRDefault="00E87601" w:rsidP="00FB3CAF">
      <w:pPr>
        <w:pStyle w:val="1"/>
        <w:spacing w:line="360" w:lineRule="exact"/>
        <w:rPr>
          <w:rFonts w:ascii="新細明體" w:eastAsia="新細明體" w:hAnsi="新細明體" w:cs="新細明體"/>
          <w:color w:val="000000"/>
        </w:rPr>
      </w:pPr>
      <w:r w:rsidRPr="00F6439B">
        <w:rPr>
          <w:rFonts w:ascii="新細明體" w:eastAsia="新細明體" w:hAnsi="新細明體" w:cs="新細明體" w:hint="eastAsia"/>
          <w:color w:val="000000"/>
        </w:rPr>
        <w:t>期貨商經營證券交易輔助業務內部控制制度標準規範─</w:t>
      </w:r>
      <w:r w:rsidR="00D93714" w:rsidRPr="00D93714">
        <w:rPr>
          <w:rFonts w:ascii="新細明體" w:eastAsia="新細明體" w:hAnsi="新細明體" w:cs="新細明體" w:hint="eastAsia"/>
          <w:color w:val="000000"/>
        </w:rPr>
        <w:t>內部稽核實施細則</w:t>
      </w:r>
      <w:r w:rsidRPr="00F6439B">
        <w:rPr>
          <w:rFonts w:ascii="新細明體" w:eastAsia="新細明體" w:hAnsi="新細明體" w:cs="新細明體" w:hint="eastAsia"/>
          <w:color w:val="000000"/>
        </w:rPr>
        <w:t>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bookmarkStart w:id="0" w:name="Article_Eff_Date"/>
      <w:r w:rsidR="0031289E" w:rsidRPr="0031289E">
        <w:rPr>
          <w:rFonts w:ascii="新細明體" w:eastAsia="新細明體" w:hAnsi="新細明體" w:cs="新細明體" w:hint="eastAsia"/>
          <w:color w:val="000000"/>
        </w:rPr>
        <w:t>草案</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1271"/>
        <w:gridCol w:w="5354"/>
        <w:gridCol w:w="5355"/>
        <w:gridCol w:w="2012"/>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AA-61110</w:t>
            </w:r>
          </w:p>
        </w:tc>
        <w:tc>
          <w:tcPr>
            <w:tcW w:w="1276" w:type="dxa"/>
            <w:vMerge w:val="restart"/>
            <w:tcBorders>
              <w:top w:val="single" w:sz="12" w:space="0" w:color="auto"/>
            </w:tcBorders>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普通交易帳戶：開戶手續及審核作業之稽核</w:t>
            </w:r>
          </w:p>
          <w:p w14:paraId="6D7A4676" w14:textId="77777777" w:rsidR="003B3105" w:rsidRPr="00F6439B" w:rsidRDefault="003B3105" w:rsidP="001E533B">
            <w:pPr>
              <w:rPr>
                <w:rFonts w:ascii="新細明體" w:eastAsia="新細明體" w:hAnsi="新細明體"/>
              </w:rPr>
            </w:pPr>
            <w:r>
              <w:rPr>
                <w:rFonts w:ascii="新細明體" w:eastAsia="新細明體" w:hAnsi="新細明體" w:hint="eastAsia"/>
              </w:rPr>
              <w:t>目的：</w:t>
            </w:r>
          </w:p>
          <w:p w14:paraId="06EE0D1D" w14:textId="77777777" w:rsidR="003B3105" w:rsidRPr="00F6439B" w:rsidRDefault="003B3105" w:rsidP="001E533B">
            <w:pPr>
              <w:rPr>
                <w:rFonts w:ascii="新細明體" w:eastAsia="新細明體" w:hAnsi="新細明體"/>
              </w:rPr>
            </w:pPr>
            <w:r>
              <w:rPr>
                <w:rFonts w:ascii="新細明體" w:eastAsia="新細明體" w:hAnsi="新細明體" w:hint="eastAsia"/>
              </w:rPr>
              <w:t>確定上述作業是否符合規定辦理</w:t>
            </w:r>
          </w:p>
        </w:tc>
        <w:tc>
          <w:tcPr>
            <w:tcW w:w="5386" w:type="dxa"/>
            <w:tcBorders>
              <w:top w:val="single" w:sz="12" w:space="0" w:color="auto"/>
              <w:bottom w:val="nil"/>
            </w:tcBorders>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不定期（每月至少查核乙次）</w:t>
            </w:r>
          </w:p>
        </w:tc>
        <w:tc>
          <w:tcPr>
            <w:tcW w:w="5387" w:type="dxa"/>
            <w:tcBorders>
              <w:top w:val="single" w:sz="12" w:space="0" w:color="auto"/>
              <w:bottom w:val="nil"/>
            </w:tcBorders>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不定期（每月至少查核乙次）</w:t>
            </w:r>
          </w:p>
        </w:tc>
        <w:tc>
          <w:tcPr>
            <w:tcW w:w="2023" w:type="dxa"/>
            <w:vMerge w:val="restart"/>
            <w:tcBorders>
              <w:top w:val="single" w:sz="12" w:space="0" w:color="auto"/>
              <w:right w:val="single" w:sz="12" w:space="0" w:color="auto"/>
            </w:tcBorders>
          </w:tcPr>
          <w:p w14:paraId="217DBB1D"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參酌券商公會建議，調整本項目之查核週期由週查核改為月查核。</w:t>
            </w:r>
          </w:p>
        </w:tc>
      </w:tr>
      <w:tr w:rsidR="003B3105" w:rsidRPr="00F6439B" w14:paraId="2BC6EC63" w14:textId="77777777">
        <w:tc>
          <w:tcPr>
            <w:tcW w:w="1384" w:type="dxa"/>
            <w:vMerge/>
            <w:tcBorders>
              <w:left w:val="single" w:sz="12" w:space="0" w:color="auto"/>
            </w:tcBorders>
          </w:tcPr>
          <w:p w14:paraId="209BBC6A" w14:textId="77777777" w:rsidR="003B3105" w:rsidRDefault="003B3105" w:rsidP="001E533B">
            <w:pPr>
              <w:rPr>
                <w:rFonts w:ascii="新細明體" w:eastAsia="新細明體" w:hAnsi="新細明體"/>
              </w:rPr>
            </w:pPr>
          </w:p>
        </w:tc>
        <w:tc>
          <w:tcPr>
            <w:tcW w:w="1276" w:type="dxa"/>
            <w:vMerge/>
          </w:tcPr>
          <w:p w14:paraId="1197E296" w14:textId="77777777" w:rsidR="003B3105" w:rsidRDefault="003B3105" w:rsidP="001E533B">
            <w:pPr>
              <w:rPr>
                <w:rFonts w:ascii="新細明體" w:eastAsia="新細明體" w:hAnsi="新細明體"/>
              </w:rPr>
            </w:pPr>
          </w:p>
        </w:tc>
        <w:tc>
          <w:tcPr>
            <w:tcW w:w="5386" w:type="dxa"/>
            <w:tcBorders>
              <w:top w:val="nil"/>
              <w:bottom w:val="nil"/>
            </w:tcBorders>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客戶是否簽訂「電子式交易帳戶委託買賣有價證券同意書」後始得以電子式交易委託買賣。除網際網路交易客戶得採經電子憑證認證之網際網路方式簽訂「電子式交易帳戶委託買賣有價證券同意書」外，餘均是否以紙本方式簽訂之。</w:t>
            </w:r>
          </w:p>
        </w:tc>
        <w:tc>
          <w:tcPr>
            <w:tcW w:w="5387" w:type="dxa"/>
            <w:tcBorders>
              <w:top w:val="nil"/>
              <w:bottom w:val="nil"/>
            </w:tcBorders>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客戶是否簽訂「電子式交易帳戶委託買賣有價證券同意書」後始得以電子式交易委託買賣。除網際網路交易客戶得採經電子憑證認證之網際網路方式簽訂「電子式交易帳戶委託買賣有價證券同意書」外，餘均是否以紙本方式簽訂之。</w:t>
            </w:r>
          </w:p>
        </w:tc>
        <w:tc>
          <w:tcPr>
            <w:tcW w:w="2023" w:type="dxa"/>
            <w:vMerge/>
            <w:tcBorders>
              <w:right w:val="single" w:sz="12" w:space="0" w:color="auto"/>
            </w:tcBorders>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2338423" w14:textId="77777777">
        <w:tc>
          <w:tcPr>
            <w:tcW w:w="1384" w:type="dxa"/>
            <w:vMerge/>
            <w:tcBorders>
              <w:left w:val="single" w:sz="12" w:space="0" w:color="auto"/>
            </w:tcBorders>
          </w:tcPr>
          <w:p w14:paraId="7579C8E7" w14:textId="77777777" w:rsidR="003B3105" w:rsidRDefault="003B3105" w:rsidP="001E533B">
            <w:pPr>
              <w:rPr>
                <w:rFonts w:ascii="新細明體" w:eastAsia="新細明體" w:hAnsi="新細明體"/>
              </w:rPr>
            </w:pPr>
          </w:p>
        </w:tc>
        <w:tc>
          <w:tcPr>
            <w:tcW w:w="1276" w:type="dxa"/>
            <w:vMerge/>
          </w:tcPr>
          <w:p w14:paraId="5C1D4F09" w14:textId="77777777" w:rsidR="003B3105" w:rsidRDefault="003B3105" w:rsidP="001E533B">
            <w:pPr>
              <w:rPr>
                <w:rFonts w:ascii="新細明體" w:eastAsia="新細明體" w:hAnsi="新細明體"/>
              </w:rPr>
            </w:pPr>
          </w:p>
        </w:tc>
        <w:tc>
          <w:tcPr>
            <w:tcW w:w="5386" w:type="dxa"/>
            <w:tcBorders>
              <w:top w:val="nil"/>
              <w:bottom w:val="nil"/>
            </w:tcBorders>
          </w:tcPr>
          <w:p w14:paraId="6B6DF5B1"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對於上開申請採電子式交易型態之客戶，得以一般電子方式交付電子密碼條或自訂交付電子密碼條方式，並是否依下列說明辦理(1、2、3適用於一般電子方式，4、5、6、7適用於自訂交付方式)：</w:t>
            </w:r>
          </w:p>
        </w:tc>
        <w:tc>
          <w:tcPr>
            <w:tcW w:w="5387" w:type="dxa"/>
            <w:tcBorders>
              <w:top w:val="nil"/>
              <w:bottom w:val="nil"/>
            </w:tcBorders>
          </w:tcPr>
          <w:p w14:paraId="747776F1"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對於上開申請採電子式交易型態之客戶，得以一般電子方式交付電子密碼條或自訂交付電子密碼條方式，並是否依下列說明辦理(1、2、3適用於一般電子方式，4、5、6、7適用於自訂交付方式)：</w:t>
            </w:r>
          </w:p>
        </w:tc>
        <w:tc>
          <w:tcPr>
            <w:tcW w:w="2023" w:type="dxa"/>
            <w:vMerge/>
            <w:tcBorders>
              <w:right w:val="single" w:sz="12" w:space="0" w:color="auto"/>
            </w:tcBorders>
          </w:tcPr>
          <w:p w14:paraId="261AEE4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8A83BF8" w14:textId="77777777">
        <w:tc>
          <w:tcPr>
            <w:tcW w:w="1384" w:type="dxa"/>
            <w:vMerge/>
            <w:tcBorders>
              <w:left w:val="single" w:sz="12" w:space="0" w:color="auto"/>
            </w:tcBorders>
          </w:tcPr>
          <w:p w14:paraId="3D611FF6" w14:textId="77777777" w:rsidR="003B3105" w:rsidRDefault="003B3105" w:rsidP="001E533B">
            <w:pPr>
              <w:rPr>
                <w:rFonts w:ascii="新細明體" w:eastAsia="新細明體" w:hAnsi="新細明體"/>
              </w:rPr>
            </w:pPr>
          </w:p>
        </w:tc>
        <w:tc>
          <w:tcPr>
            <w:tcW w:w="1276" w:type="dxa"/>
            <w:vMerge/>
          </w:tcPr>
          <w:p w14:paraId="5213F3E9" w14:textId="77777777" w:rsidR="003B3105" w:rsidRDefault="003B3105" w:rsidP="001E533B">
            <w:pPr>
              <w:rPr>
                <w:rFonts w:ascii="新細明體" w:eastAsia="新細明體" w:hAnsi="新細明體"/>
              </w:rPr>
            </w:pPr>
          </w:p>
        </w:tc>
        <w:tc>
          <w:tcPr>
            <w:tcW w:w="5386" w:type="dxa"/>
            <w:tcBorders>
              <w:top w:val="nil"/>
              <w:bottom w:val="nil"/>
            </w:tcBorders>
          </w:tcPr>
          <w:p w14:paraId="62811FC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1.客戶應於聲明書中聲明同意以電子方式交付電子密碼條。</w:t>
            </w:r>
          </w:p>
        </w:tc>
        <w:tc>
          <w:tcPr>
            <w:tcW w:w="5387" w:type="dxa"/>
            <w:tcBorders>
              <w:top w:val="nil"/>
              <w:bottom w:val="nil"/>
            </w:tcBorders>
          </w:tcPr>
          <w:p w14:paraId="0EAD62A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1.客戶應於聲明書中聲明同意以電子方式交付電子密碼條。</w:t>
            </w:r>
          </w:p>
        </w:tc>
        <w:tc>
          <w:tcPr>
            <w:tcW w:w="2023" w:type="dxa"/>
            <w:vMerge/>
            <w:tcBorders>
              <w:right w:val="single" w:sz="12" w:space="0" w:color="auto"/>
            </w:tcBorders>
          </w:tcPr>
          <w:p w14:paraId="2CAF359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2F40510" w14:textId="77777777">
        <w:tc>
          <w:tcPr>
            <w:tcW w:w="1384" w:type="dxa"/>
            <w:vMerge/>
            <w:tcBorders>
              <w:left w:val="single" w:sz="12" w:space="0" w:color="auto"/>
            </w:tcBorders>
          </w:tcPr>
          <w:p w14:paraId="49118FEE" w14:textId="77777777" w:rsidR="003B3105" w:rsidRDefault="003B3105" w:rsidP="001E533B">
            <w:pPr>
              <w:rPr>
                <w:rFonts w:ascii="新細明體" w:eastAsia="新細明體" w:hAnsi="新細明體"/>
              </w:rPr>
            </w:pPr>
          </w:p>
        </w:tc>
        <w:tc>
          <w:tcPr>
            <w:tcW w:w="1276" w:type="dxa"/>
            <w:vMerge/>
          </w:tcPr>
          <w:p w14:paraId="41CB7A72" w14:textId="77777777" w:rsidR="003B3105" w:rsidRDefault="003B3105" w:rsidP="001E533B">
            <w:pPr>
              <w:rPr>
                <w:rFonts w:ascii="新細明體" w:eastAsia="新細明體" w:hAnsi="新細明體"/>
              </w:rPr>
            </w:pPr>
          </w:p>
        </w:tc>
        <w:tc>
          <w:tcPr>
            <w:tcW w:w="5386" w:type="dxa"/>
            <w:tcBorders>
              <w:top w:val="nil"/>
              <w:bottom w:val="nil"/>
            </w:tcBorders>
          </w:tcPr>
          <w:p w14:paraId="3625513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2.應確實辨認客戶身分，並確認其手機號碼及電子信箱為本人使用。</w:t>
            </w:r>
          </w:p>
        </w:tc>
        <w:tc>
          <w:tcPr>
            <w:tcW w:w="5387" w:type="dxa"/>
            <w:tcBorders>
              <w:top w:val="nil"/>
              <w:bottom w:val="nil"/>
            </w:tcBorders>
          </w:tcPr>
          <w:p w14:paraId="50A970B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2.應確實辨認客戶身分，並確認其手機號碼及電子信箱為本人使用。</w:t>
            </w:r>
          </w:p>
        </w:tc>
        <w:tc>
          <w:tcPr>
            <w:tcW w:w="2023" w:type="dxa"/>
            <w:vMerge/>
            <w:tcBorders>
              <w:right w:val="single" w:sz="12" w:space="0" w:color="auto"/>
            </w:tcBorders>
          </w:tcPr>
          <w:p w14:paraId="0F56E0A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706BE76" w14:textId="77777777">
        <w:tc>
          <w:tcPr>
            <w:tcW w:w="1384" w:type="dxa"/>
            <w:vMerge/>
            <w:tcBorders>
              <w:left w:val="single" w:sz="12" w:space="0" w:color="auto"/>
            </w:tcBorders>
          </w:tcPr>
          <w:p w14:paraId="3672ED5C" w14:textId="77777777" w:rsidR="003B3105" w:rsidRDefault="003B3105" w:rsidP="001E533B">
            <w:pPr>
              <w:rPr>
                <w:rFonts w:ascii="新細明體" w:eastAsia="新細明體" w:hAnsi="新細明體"/>
              </w:rPr>
            </w:pPr>
          </w:p>
        </w:tc>
        <w:tc>
          <w:tcPr>
            <w:tcW w:w="1276" w:type="dxa"/>
            <w:vMerge/>
          </w:tcPr>
          <w:p w14:paraId="7208C540" w14:textId="77777777" w:rsidR="003B3105" w:rsidRDefault="003B3105" w:rsidP="001E533B">
            <w:pPr>
              <w:rPr>
                <w:rFonts w:ascii="新細明體" w:eastAsia="新細明體" w:hAnsi="新細明體"/>
              </w:rPr>
            </w:pPr>
          </w:p>
        </w:tc>
        <w:tc>
          <w:tcPr>
            <w:tcW w:w="5386" w:type="dxa"/>
            <w:tcBorders>
              <w:top w:val="nil"/>
              <w:bottom w:val="nil"/>
            </w:tcBorders>
          </w:tcPr>
          <w:p w14:paraId="5584187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3.傳送OTP(One Time Password)密碼至客戶開戶留存之手機號碼，及將加密後之電子密碼條以電子方式傳送至客戶留存之電子信箱，客戶需以OTP密碼解密方能取得密碼，此流程相關系統紀錄應留存。</w:t>
            </w:r>
          </w:p>
        </w:tc>
        <w:tc>
          <w:tcPr>
            <w:tcW w:w="5387" w:type="dxa"/>
            <w:tcBorders>
              <w:top w:val="nil"/>
              <w:bottom w:val="nil"/>
            </w:tcBorders>
          </w:tcPr>
          <w:p w14:paraId="47AC778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3.傳送OTP(One Time Password)密碼至客戶開戶留存之手機號碼，及將加密後之電子密碼條以電子方式傳送至客戶留存之電子信箱，客戶需以OTP密碼解密方能取得密碼，此流程相關系統紀錄應留存。</w:t>
            </w:r>
          </w:p>
        </w:tc>
        <w:tc>
          <w:tcPr>
            <w:tcW w:w="2023" w:type="dxa"/>
            <w:vMerge/>
            <w:tcBorders>
              <w:right w:val="single" w:sz="12" w:space="0" w:color="auto"/>
            </w:tcBorders>
          </w:tcPr>
          <w:p w14:paraId="3E7198F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A7F9FA7" w14:textId="77777777">
        <w:tc>
          <w:tcPr>
            <w:tcW w:w="1384" w:type="dxa"/>
            <w:vMerge/>
            <w:tcBorders>
              <w:left w:val="single" w:sz="12" w:space="0" w:color="auto"/>
            </w:tcBorders>
          </w:tcPr>
          <w:p w14:paraId="48C57036" w14:textId="77777777" w:rsidR="003B3105" w:rsidRDefault="003B3105" w:rsidP="001E533B">
            <w:pPr>
              <w:rPr>
                <w:rFonts w:ascii="新細明體" w:eastAsia="新細明體" w:hAnsi="新細明體"/>
              </w:rPr>
            </w:pPr>
          </w:p>
        </w:tc>
        <w:tc>
          <w:tcPr>
            <w:tcW w:w="1276" w:type="dxa"/>
            <w:vMerge/>
          </w:tcPr>
          <w:p w14:paraId="596E9C0F" w14:textId="77777777" w:rsidR="003B3105" w:rsidRDefault="003B3105" w:rsidP="001E533B">
            <w:pPr>
              <w:rPr>
                <w:rFonts w:ascii="新細明體" w:eastAsia="新細明體" w:hAnsi="新細明體"/>
              </w:rPr>
            </w:pPr>
          </w:p>
        </w:tc>
        <w:tc>
          <w:tcPr>
            <w:tcW w:w="5386" w:type="dxa"/>
            <w:tcBorders>
              <w:top w:val="nil"/>
              <w:bottom w:val="nil"/>
            </w:tcBorders>
          </w:tcPr>
          <w:p w14:paraId="0365E07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4.應訂定交付電子式交易密碼之作業程序。</w:t>
            </w:r>
          </w:p>
        </w:tc>
        <w:tc>
          <w:tcPr>
            <w:tcW w:w="5387" w:type="dxa"/>
            <w:tcBorders>
              <w:top w:val="nil"/>
              <w:bottom w:val="nil"/>
            </w:tcBorders>
          </w:tcPr>
          <w:p w14:paraId="7661EA9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4.應訂定交付電子式交易密碼之作業程序。</w:t>
            </w:r>
          </w:p>
        </w:tc>
        <w:tc>
          <w:tcPr>
            <w:tcW w:w="2023" w:type="dxa"/>
            <w:vMerge/>
            <w:tcBorders>
              <w:right w:val="single" w:sz="12" w:space="0" w:color="auto"/>
            </w:tcBorders>
          </w:tcPr>
          <w:p w14:paraId="25723C4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B98DAAA" w14:textId="77777777">
        <w:tc>
          <w:tcPr>
            <w:tcW w:w="1384" w:type="dxa"/>
            <w:vMerge/>
            <w:tcBorders>
              <w:left w:val="single" w:sz="12" w:space="0" w:color="auto"/>
            </w:tcBorders>
          </w:tcPr>
          <w:p w14:paraId="7D1C890E" w14:textId="77777777" w:rsidR="003B3105" w:rsidRDefault="003B3105" w:rsidP="001E533B">
            <w:pPr>
              <w:rPr>
                <w:rFonts w:ascii="新細明體" w:eastAsia="新細明體" w:hAnsi="新細明體"/>
              </w:rPr>
            </w:pPr>
          </w:p>
        </w:tc>
        <w:tc>
          <w:tcPr>
            <w:tcW w:w="1276" w:type="dxa"/>
            <w:vMerge/>
          </w:tcPr>
          <w:p w14:paraId="4AC2D18D" w14:textId="77777777" w:rsidR="003B3105" w:rsidRDefault="003B3105" w:rsidP="001E533B">
            <w:pPr>
              <w:rPr>
                <w:rFonts w:ascii="新細明體" w:eastAsia="新細明體" w:hAnsi="新細明體"/>
              </w:rPr>
            </w:pPr>
          </w:p>
        </w:tc>
        <w:tc>
          <w:tcPr>
            <w:tcW w:w="5386" w:type="dxa"/>
            <w:tcBorders>
              <w:top w:val="nil"/>
              <w:bottom w:val="nil"/>
            </w:tcBorders>
          </w:tcPr>
          <w:p w14:paraId="2EEDE49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5.應確實辨認電子式交易密碼交付對象為本人並留存相關紀錄。</w:t>
            </w:r>
          </w:p>
        </w:tc>
        <w:tc>
          <w:tcPr>
            <w:tcW w:w="5387" w:type="dxa"/>
            <w:tcBorders>
              <w:top w:val="nil"/>
              <w:bottom w:val="nil"/>
            </w:tcBorders>
          </w:tcPr>
          <w:p w14:paraId="7768456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5.應確實辨認電子式交易密碼交付對象為本人並留存相關紀錄。</w:t>
            </w:r>
          </w:p>
        </w:tc>
        <w:tc>
          <w:tcPr>
            <w:tcW w:w="2023" w:type="dxa"/>
            <w:vMerge/>
            <w:tcBorders>
              <w:right w:val="single" w:sz="12" w:space="0" w:color="auto"/>
            </w:tcBorders>
          </w:tcPr>
          <w:p w14:paraId="763C8A7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F2F661C" w14:textId="77777777">
        <w:tc>
          <w:tcPr>
            <w:tcW w:w="1384" w:type="dxa"/>
            <w:vMerge/>
            <w:tcBorders>
              <w:left w:val="single" w:sz="12" w:space="0" w:color="auto"/>
            </w:tcBorders>
          </w:tcPr>
          <w:p w14:paraId="020960BC" w14:textId="77777777" w:rsidR="003B3105" w:rsidRDefault="003B3105" w:rsidP="001E533B">
            <w:pPr>
              <w:rPr>
                <w:rFonts w:ascii="新細明體" w:eastAsia="新細明體" w:hAnsi="新細明體"/>
              </w:rPr>
            </w:pPr>
          </w:p>
        </w:tc>
        <w:tc>
          <w:tcPr>
            <w:tcW w:w="1276" w:type="dxa"/>
            <w:vMerge/>
          </w:tcPr>
          <w:p w14:paraId="3CD0CFE2" w14:textId="77777777" w:rsidR="003B3105" w:rsidRDefault="003B3105" w:rsidP="001E533B">
            <w:pPr>
              <w:rPr>
                <w:rFonts w:ascii="新細明體" w:eastAsia="新細明體" w:hAnsi="新細明體"/>
              </w:rPr>
            </w:pPr>
          </w:p>
        </w:tc>
        <w:tc>
          <w:tcPr>
            <w:tcW w:w="5386" w:type="dxa"/>
            <w:tcBorders>
              <w:top w:val="nil"/>
              <w:bottom w:val="nil"/>
            </w:tcBorders>
          </w:tcPr>
          <w:p w14:paraId="31C3E4C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6.應依據自訂之電子式交易密碼交付流程與安全控管機制相關內部控制制度(含內</w:t>
            </w:r>
            <w:r>
              <w:rPr>
                <w:rFonts w:ascii="新細明體" w:eastAsia="新細明體" w:hAnsi="新細明體" w:cs="新細明體" w:hint="eastAsia"/>
              </w:rPr>
              <w:lastRenderedPageBreak/>
              <w:t>部稽核實施細則)確實執行。</w:t>
            </w:r>
          </w:p>
        </w:tc>
        <w:tc>
          <w:tcPr>
            <w:tcW w:w="5387" w:type="dxa"/>
            <w:tcBorders>
              <w:top w:val="nil"/>
              <w:bottom w:val="nil"/>
            </w:tcBorders>
          </w:tcPr>
          <w:p w14:paraId="432D52D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6.應依據自訂之電子式交易密碼交付流程與安全控管機制相關內部控制制度(含內</w:t>
            </w:r>
            <w:r>
              <w:rPr>
                <w:rFonts w:ascii="新細明體" w:eastAsia="新細明體" w:hAnsi="新細明體" w:cs="新細明體" w:hint="eastAsia"/>
              </w:rPr>
              <w:lastRenderedPageBreak/>
              <w:t>部稽核實施細則)確實執行。</w:t>
            </w:r>
          </w:p>
        </w:tc>
        <w:tc>
          <w:tcPr>
            <w:tcW w:w="2023" w:type="dxa"/>
            <w:vMerge/>
            <w:tcBorders>
              <w:right w:val="single" w:sz="12" w:space="0" w:color="auto"/>
            </w:tcBorders>
          </w:tcPr>
          <w:p w14:paraId="3CCF7E5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BEF0D15" w14:textId="77777777">
        <w:tc>
          <w:tcPr>
            <w:tcW w:w="1384" w:type="dxa"/>
            <w:vMerge/>
            <w:tcBorders>
              <w:left w:val="single" w:sz="12" w:space="0" w:color="auto"/>
            </w:tcBorders>
          </w:tcPr>
          <w:p w14:paraId="586D4671" w14:textId="77777777" w:rsidR="003B3105" w:rsidRDefault="003B3105" w:rsidP="001E533B">
            <w:pPr>
              <w:rPr>
                <w:rFonts w:ascii="新細明體" w:eastAsia="新細明體" w:hAnsi="新細明體"/>
              </w:rPr>
            </w:pPr>
          </w:p>
        </w:tc>
        <w:tc>
          <w:tcPr>
            <w:tcW w:w="1276" w:type="dxa"/>
            <w:vMerge/>
          </w:tcPr>
          <w:p w14:paraId="73344A12" w14:textId="77777777" w:rsidR="003B3105" w:rsidRDefault="003B3105" w:rsidP="001E533B">
            <w:pPr>
              <w:rPr>
                <w:rFonts w:ascii="新細明體" w:eastAsia="新細明體" w:hAnsi="新細明體"/>
              </w:rPr>
            </w:pPr>
          </w:p>
        </w:tc>
        <w:tc>
          <w:tcPr>
            <w:tcW w:w="5386" w:type="dxa"/>
            <w:tcBorders>
              <w:top w:val="nil"/>
              <w:bottom w:val="nil"/>
            </w:tcBorders>
          </w:tcPr>
          <w:p w14:paraId="380A796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7.密碼管理依「建立證券商資通安全檢查機制」之規定辦理。</w:t>
            </w:r>
          </w:p>
        </w:tc>
        <w:tc>
          <w:tcPr>
            <w:tcW w:w="5387" w:type="dxa"/>
            <w:tcBorders>
              <w:top w:val="nil"/>
              <w:bottom w:val="nil"/>
            </w:tcBorders>
          </w:tcPr>
          <w:p w14:paraId="04DFDE0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7.密碼管理依「建立證券商資通安全檢查機制」之規定辦理。</w:t>
            </w:r>
          </w:p>
        </w:tc>
        <w:tc>
          <w:tcPr>
            <w:tcW w:w="2023" w:type="dxa"/>
            <w:vMerge/>
            <w:tcBorders>
              <w:right w:val="single" w:sz="12" w:space="0" w:color="auto"/>
            </w:tcBorders>
          </w:tcPr>
          <w:p w14:paraId="1B5661B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C9FE276" w14:textId="126A04A8" w:rsidR="003B3105" w:rsidRPr="0068743F" w:rsidRDefault="0027008E" w:rsidP="0027008E">
            <w:pPr>
              <w:ind w:left="429" w:hangingChars="165" w:hanging="429"/>
              <w:rPr>
                <w:rFonts w:ascii="新細明體" w:eastAsia="新細明體" w:hAnsi="新細明體" w:cs="新細明體"/>
              </w:rPr>
            </w:pPr>
            <w:r>
              <w:rPr>
                <w:rFonts w:ascii="新細明體" w:eastAsia="新細明體" w:hAnsi="新細明體" w:cs="新細明體" w:hint="eastAsia"/>
                <w:b/>
                <w:color w:val="FF0000"/>
              </w:rPr>
              <w:t>(二)</w:t>
            </w:r>
            <w:r>
              <w:rPr>
                <w:rFonts w:ascii="新細明體" w:eastAsia="新細明體" w:hAnsi="新細明體" w:cs="新細明體" w:hint="eastAsia"/>
                <w:b/>
                <w:color w:val="FF0000"/>
                <w:u w:val="single"/>
              </w:rPr>
              <w:t>是否依金融機構防制洗錢辦法規定，對於現有客戶(含實質受益人)進行持續審查事宜，並依重要性及風險程度變動情況，更新客戶及實質受益人資訊。</w:t>
            </w:r>
          </w:p>
        </w:tc>
        <w:tc>
          <w:tcPr>
            <w:tcW w:w="5387" w:type="dxa"/>
            <w:tcBorders>
              <w:top w:val="nil"/>
              <w:bottom w:val="single" w:sz="12" w:space="0" w:color="auto"/>
            </w:tcBorders>
          </w:tcPr>
          <w:p w14:paraId="7CBFB24A" w14:textId="08415A0E" w:rsidR="003B3105" w:rsidRPr="00F6439B" w:rsidRDefault="0027008E" w:rsidP="0027008E">
            <w:pPr>
              <w:spacing w:line="360" w:lineRule="exact"/>
              <w:rPr>
                <w:rFonts w:ascii="新細明體" w:eastAsia="新細明體" w:hAnsi="新細明體" w:cs="新細明體"/>
              </w:rPr>
            </w:pPr>
            <w:r>
              <w:rPr>
                <w:rFonts w:ascii="新細明體" w:eastAsia="新細明體" w:hAnsi="新細明體" w:cs="新細明體" w:hint="eastAsia"/>
                <w:b/>
                <w:color w:val="FF0000"/>
              </w:rPr>
              <w:t>(新增)</w:t>
            </w:r>
          </w:p>
        </w:tc>
        <w:tc>
          <w:tcPr>
            <w:tcW w:w="2023" w:type="dxa"/>
            <w:vMerge/>
            <w:tcBorders>
              <w:bottom w:val="single" w:sz="12" w:space="0" w:color="auto"/>
              <w:right w:val="single" w:sz="12" w:space="0" w:color="auto"/>
            </w:tcBorders>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16C7968A" w14:textId="77777777" w:rsidR="00E87601" w:rsidRPr="00FB3CAF" w:rsidRDefault="00E87601">
      <w:pPr>
        <w:spacing w:line="360" w:lineRule="exact"/>
        <w:rPr>
          <w:rFonts w:ascii="新細明體" w:eastAsia="新細明體" w:hAnsi="新細明體" w:cs="Times New Roman"/>
        </w:rPr>
      </w:pPr>
    </w:p>
    <w:sectPr w:rsidR="00E87601" w:rsidRPr="00FB3CAF"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6E663" w14:textId="77777777" w:rsidR="00826565" w:rsidRDefault="00826565" w:rsidP="00E87601">
      <w:pPr>
        <w:spacing w:line="240" w:lineRule="auto"/>
      </w:pPr>
      <w:r>
        <w:separator/>
      </w:r>
    </w:p>
  </w:endnote>
  <w:endnote w:type="continuationSeparator" w:id="0">
    <w:p w14:paraId="17F39202" w14:textId="77777777" w:rsidR="00826565" w:rsidRDefault="00826565"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8CBB9" w14:textId="77777777" w:rsidR="00826565" w:rsidRDefault="00826565" w:rsidP="00E87601">
      <w:pPr>
        <w:spacing w:line="240" w:lineRule="auto"/>
      </w:pPr>
      <w:r>
        <w:separator/>
      </w:r>
    </w:p>
  </w:footnote>
  <w:footnote w:type="continuationSeparator" w:id="0">
    <w:p w14:paraId="3D53C64B" w14:textId="77777777" w:rsidR="00826565" w:rsidRDefault="00826565"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2D3AE3"/>
    <w:rsid w:val="0030176E"/>
    <w:rsid w:val="0030391B"/>
    <w:rsid w:val="003042D6"/>
    <w:rsid w:val="0031289E"/>
    <w:rsid w:val="00320C3C"/>
    <w:rsid w:val="0032634F"/>
    <w:rsid w:val="00354E9A"/>
    <w:rsid w:val="00360CA1"/>
    <w:rsid w:val="003757E9"/>
    <w:rsid w:val="003948F0"/>
    <w:rsid w:val="003B3105"/>
    <w:rsid w:val="003B5A2D"/>
    <w:rsid w:val="003B7480"/>
    <w:rsid w:val="003B7771"/>
    <w:rsid w:val="003C4C66"/>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716CE"/>
    <w:rsid w:val="0057303B"/>
    <w:rsid w:val="00587858"/>
    <w:rsid w:val="00590586"/>
    <w:rsid w:val="005A67E0"/>
    <w:rsid w:val="005B5700"/>
    <w:rsid w:val="005D293B"/>
    <w:rsid w:val="005E48B0"/>
    <w:rsid w:val="005E77C1"/>
    <w:rsid w:val="0061624E"/>
    <w:rsid w:val="00622D10"/>
    <w:rsid w:val="00651DC4"/>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7E1E63"/>
    <w:rsid w:val="00820A8B"/>
    <w:rsid w:val="00826565"/>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E5975"/>
    <w:rsid w:val="009F093C"/>
    <w:rsid w:val="00A10FAE"/>
    <w:rsid w:val="00A24FFC"/>
    <w:rsid w:val="00A327CE"/>
    <w:rsid w:val="00A505EE"/>
    <w:rsid w:val="00A5751A"/>
    <w:rsid w:val="00A669C2"/>
    <w:rsid w:val="00A7490F"/>
    <w:rsid w:val="00A943E4"/>
    <w:rsid w:val="00AC5AB5"/>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42EFB"/>
    <w:rsid w:val="00D73498"/>
    <w:rsid w:val="00D93714"/>
    <w:rsid w:val="00DB54C8"/>
    <w:rsid w:val="00DB54EE"/>
    <w:rsid w:val="00DC16C9"/>
    <w:rsid w:val="00E055DE"/>
    <w:rsid w:val="00E17EAE"/>
    <w:rsid w:val="00E35783"/>
    <w:rsid w:val="00E520A8"/>
    <w:rsid w:val="00E6151B"/>
    <w:rsid w:val="00E8068F"/>
    <w:rsid w:val="00E87601"/>
    <w:rsid w:val="00EA2E15"/>
    <w:rsid w:val="00EB3A71"/>
    <w:rsid w:val="00EF791F"/>
    <w:rsid w:val="00F02C37"/>
    <w:rsid w:val="00F2266B"/>
    <w:rsid w:val="00F237EE"/>
    <w:rsid w:val="00F247E4"/>
    <w:rsid w:val="00F35FDD"/>
    <w:rsid w:val="00F56FAD"/>
    <w:rsid w:val="00F6439B"/>
    <w:rsid w:val="00F86396"/>
    <w:rsid w:val="00FA5967"/>
    <w:rsid w:val="00FA7BF5"/>
    <w:rsid w:val="00FB3CAF"/>
    <w:rsid w:val="00FD5445"/>
    <w:rsid w:val="00FE0FC0"/>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189</Words>
  <Characters>1081</Characters>
  <Application>Microsoft Office Word</Application>
  <DocSecurity>0</DocSecurity>
  <Lines>9</Lines>
  <Paragraphs>2</Paragraphs>
  <ScaleCrop>false</ScaleCrop>
  <Company>Hewlett-Packard Company</Company>
  <LinksUpToDate>false</LinksUpToDate>
  <CharactersWithSpaces>1268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陳泓志</cp:lastModifiedBy>
  <cp:revision>2</cp:revision>
  <cp:lastPrinted>2004-03-09T19:20:00Z</cp:lastPrinted>
  <dcterms:created xsi:type="dcterms:W3CDTF">2026-03-07T09:44:00Z</dcterms:created>
  <dcterms:modified xsi:type="dcterms:W3CDTF">2026-03-07T09:44:00Z</dcterms:modified>
</cp:coreProperties>
</file>